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DF0" w:rsidRPr="00FF2DF0" w:rsidRDefault="00AB2C2B" w:rsidP="00FF2DF0">
      <w:pPr>
        <w:pBdr>
          <w:top w:val="single" w:sz="4" w:space="1" w:color="auto"/>
          <w:bottom w:val="single" w:sz="4" w:space="1" w:color="auto"/>
        </w:pBdr>
        <w:spacing w:before="240" w:after="100" w:afterAutospacing="1" w:line="276" w:lineRule="auto"/>
        <w:jc w:val="center"/>
        <w:outlineLvl w:val="1"/>
        <w:rPr>
          <w:rFonts w:ascii="Cambria" w:eastAsia="Times New Roman" w:hAnsi="Cambria"/>
          <w:b/>
          <w:kern w:val="0"/>
          <w:sz w:val="36"/>
          <w:szCs w:val="36"/>
          <w:lang w:eastAsia="en-IN"/>
        </w:rPr>
      </w:pPr>
      <w:r w:rsidRPr="00AB2C2B">
        <w:rPr>
          <w:rFonts w:ascii="Cambria" w:eastAsia="Times New Roman" w:hAnsi="Cambria"/>
          <w:b/>
          <w:kern w:val="0"/>
          <w:sz w:val="36"/>
          <w:szCs w:val="36"/>
          <w:lang w:eastAsia="en-IN"/>
        </w:rPr>
        <w:t>Policy and Process for Formulating the Vision and Mission of the Institute</w:t>
      </w:r>
    </w:p>
    <w:p w:rsidR="00FF2DF0" w:rsidRPr="00FF2DF0" w:rsidRDefault="00FF2DF0" w:rsidP="00FF2DF0">
      <w:pPr>
        <w:pStyle w:val="ListParagraph"/>
        <w:numPr>
          <w:ilvl w:val="0"/>
          <w:numId w:val="9"/>
        </w:numPr>
        <w:spacing w:before="100" w:beforeAutospacing="1" w:after="100" w:afterAutospacing="1" w:line="276" w:lineRule="auto"/>
        <w:ind w:left="426" w:hanging="426"/>
        <w:jc w:val="both"/>
        <w:outlineLvl w:val="2"/>
        <w:rPr>
          <w:rFonts w:ascii="Cambria" w:eastAsia="Times New Roman" w:hAnsi="Cambria"/>
          <w:b/>
          <w:kern w:val="0"/>
          <w:sz w:val="28"/>
          <w:szCs w:val="28"/>
          <w:lang w:eastAsia="en-IN"/>
        </w:rPr>
      </w:pPr>
      <w:r w:rsidRPr="00FF2DF0">
        <w:rPr>
          <w:rFonts w:ascii="Cambria" w:eastAsia="Times New Roman" w:hAnsi="Cambria"/>
          <w:b/>
          <w:kern w:val="0"/>
          <w:sz w:val="28"/>
          <w:szCs w:val="28"/>
          <w:lang w:eastAsia="en-IN"/>
        </w:rPr>
        <w:t>Policy Statement</w:t>
      </w:r>
    </w:p>
    <w:p w:rsidR="00FF2DF0" w:rsidRDefault="00AB2C2B" w:rsidP="009B146D">
      <w:pPr>
        <w:spacing w:before="100" w:beforeAutospacing="1" w:after="100" w:afterAutospacing="1" w:line="276" w:lineRule="auto"/>
        <w:jc w:val="both"/>
        <w:rPr>
          <w:rFonts w:ascii="Cambria" w:eastAsia="Times New Roman" w:hAnsi="Cambria"/>
          <w:bCs/>
          <w:kern w:val="0"/>
          <w:lang w:eastAsia="en-IN"/>
        </w:rPr>
      </w:pPr>
      <w:r w:rsidRPr="00AB2C2B">
        <w:rPr>
          <w:rFonts w:ascii="Cambria" w:eastAsia="Times New Roman" w:hAnsi="Cambria"/>
          <w:kern w:val="0"/>
          <w:lang w:eastAsia="en-IN"/>
        </w:rPr>
        <w:t>At Mar Baselios Christian College of Engineering &amp; Technology (MBCCET), the Vision and Mission of the institution form the foundation of all strategic, academic, and administrative functions. These statements articulate the long-term aspirations and the core purpose of the institution. MBCCET is committed to periodically formulating, reviewing, and realigning its Vision and Mission in response to the changing landscape of higher education, national priorities, global standards, and stakeholder expectations.</w:t>
      </w:r>
      <w:r>
        <w:rPr>
          <w:rFonts w:ascii="Cambria" w:eastAsia="Times New Roman" w:hAnsi="Cambria"/>
          <w:kern w:val="0"/>
          <w:lang w:eastAsia="en-IN"/>
        </w:rPr>
        <w:t xml:space="preserve"> </w:t>
      </w:r>
    </w:p>
    <w:p w:rsidR="00FF2DF0" w:rsidRDefault="00FF2DF0" w:rsidP="00FF2DF0">
      <w:pPr>
        <w:pStyle w:val="ListParagraph"/>
        <w:numPr>
          <w:ilvl w:val="1"/>
          <w:numId w:val="9"/>
        </w:numPr>
        <w:spacing w:before="100" w:beforeAutospacing="1" w:after="100" w:afterAutospacing="1" w:line="276" w:lineRule="auto"/>
        <w:ind w:left="709"/>
        <w:jc w:val="both"/>
        <w:outlineLvl w:val="2"/>
        <w:rPr>
          <w:rFonts w:ascii="Cambria" w:eastAsia="Times New Roman" w:hAnsi="Cambria"/>
          <w:b/>
          <w:kern w:val="0"/>
          <w:sz w:val="27"/>
          <w:szCs w:val="27"/>
          <w:lang w:eastAsia="en-IN"/>
        </w:rPr>
      </w:pPr>
      <w:r w:rsidRPr="00FF2DF0">
        <w:rPr>
          <w:rFonts w:ascii="Cambria" w:eastAsia="Times New Roman" w:hAnsi="Cambria"/>
          <w:b/>
          <w:kern w:val="0"/>
          <w:sz w:val="27"/>
          <w:szCs w:val="27"/>
          <w:lang w:eastAsia="en-IN"/>
        </w:rPr>
        <w:t>Objectives of the Policy</w:t>
      </w:r>
    </w:p>
    <w:p w:rsidR="00AB2C2B" w:rsidRPr="00AB2C2B" w:rsidRDefault="00AB2C2B" w:rsidP="00AB2C2B">
      <w:pPr>
        <w:pStyle w:val="Title"/>
      </w:pPr>
      <w:r w:rsidRPr="00AB2C2B">
        <w:t>To define a clear and inspiring institutional vision aligned with societal, technological, and industry needs.</w:t>
      </w:r>
    </w:p>
    <w:p w:rsidR="00AB2C2B" w:rsidRPr="00AB2C2B" w:rsidRDefault="00AB2C2B" w:rsidP="00AB2C2B">
      <w:pPr>
        <w:pStyle w:val="Title"/>
      </w:pPr>
      <w:r w:rsidRPr="00AB2C2B">
        <w:t>To establish a mission that captures the core values and strategic direction of the college.</w:t>
      </w:r>
    </w:p>
    <w:p w:rsidR="00AB2C2B" w:rsidRPr="00AB2C2B" w:rsidRDefault="00AB2C2B" w:rsidP="00AB2C2B">
      <w:pPr>
        <w:pStyle w:val="Title"/>
      </w:pPr>
      <w:r w:rsidRPr="00AB2C2B">
        <w:t>To engage internal and external stakeholders in shaping the future direction of the institution.</w:t>
      </w:r>
    </w:p>
    <w:p w:rsidR="00AB2C2B" w:rsidRPr="00AB2C2B" w:rsidRDefault="00AB2C2B" w:rsidP="00AB2C2B">
      <w:pPr>
        <w:pStyle w:val="Title"/>
      </w:pPr>
      <w:r w:rsidRPr="00AB2C2B">
        <w:t>To ensure alignment with regulatory and accrediting bodies such as AICTE, KTU, UGC, and NAAC.</w:t>
      </w:r>
    </w:p>
    <w:p w:rsidR="00AB2C2B" w:rsidRPr="00FF2DF0" w:rsidRDefault="00AB2C2B" w:rsidP="00AB2C2B">
      <w:pPr>
        <w:pStyle w:val="Title"/>
      </w:pPr>
      <w:r w:rsidRPr="00AB2C2B">
        <w:t>To maintain transparency, inclusivity, and clarity in institutional planning.</w:t>
      </w:r>
    </w:p>
    <w:p w:rsidR="00FF2DF0" w:rsidRPr="00FF2DF0" w:rsidRDefault="00FF2DF0" w:rsidP="00FF2DF0">
      <w:pPr>
        <w:pStyle w:val="ListParagraph"/>
        <w:numPr>
          <w:ilvl w:val="1"/>
          <w:numId w:val="9"/>
        </w:numPr>
        <w:spacing w:before="100" w:beforeAutospacing="1" w:after="100" w:afterAutospacing="1" w:line="276" w:lineRule="auto"/>
        <w:ind w:left="709"/>
        <w:jc w:val="both"/>
        <w:outlineLvl w:val="2"/>
        <w:rPr>
          <w:rFonts w:ascii="Cambria" w:eastAsia="Times New Roman" w:hAnsi="Cambria"/>
          <w:b/>
          <w:kern w:val="0"/>
          <w:sz w:val="27"/>
          <w:szCs w:val="27"/>
          <w:lang w:eastAsia="en-IN"/>
        </w:rPr>
      </w:pPr>
      <w:r w:rsidRPr="00FF2DF0">
        <w:rPr>
          <w:rFonts w:ascii="Cambria" w:eastAsia="Times New Roman" w:hAnsi="Cambria"/>
          <w:b/>
          <w:kern w:val="0"/>
          <w:sz w:val="27"/>
          <w:szCs w:val="27"/>
          <w:lang w:eastAsia="en-IN"/>
        </w:rPr>
        <w:t>Scope</w:t>
      </w:r>
    </w:p>
    <w:p w:rsidR="00FF2DF0" w:rsidRPr="00FF2DF0" w:rsidRDefault="00AB2C2B" w:rsidP="00FF2DF0">
      <w:pPr>
        <w:spacing w:before="100" w:beforeAutospacing="1" w:after="100" w:afterAutospacing="1" w:line="276" w:lineRule="auto"/>
        <w:jc w:val="both"/>
        <w:rPr>
          <w:rFonts w:ascii="Cambria" w:eastAsia="Times New Roman" w:hAnsi="Cambria"/>
          <w:kern w:val="0"/>
          <w:lang w:eastAsia="en-IN"/>
        </w:rPr>
      </w:pPr>
      <w:r w:rsidRPr="00AB2C2B">
        <w:rPr>
          <w:rFonts w:ascii="Cambria" w:eastAsia="Times New Roman" w:hAnsi="Cambria"/>
          <w:kern w:val="0"/>
          <w:lang w:eastAsia="en-IN"/>
        </w:rPr>
        <w:t>This policy applies to the formulation, revision, approval, and dissemination of the Vision and Mission statements of MBCCET at the institutional level.</w:t>
      </w:r>
    </w:p>
    <w:p w:rsidR="00FF2DF0" w:rsidRPr="00FF2DF0" w:rsidRDefault="00FF2DF0" w:rsidP="00FF2DF0">
      <w:pPr>
        <w:pStyle w:val="ListParagraph"/>
        <w:numPr>
          <w:ilvl w:val="0"/>
          <w:numId w:val="9"/>
        </w:numPr>
        <w:spacing w:before="100" w:beforeAutospacing="1" w:after="100" w:afterAutospacing="1" w:line="276" w:lineRule="auto"/>
        <w:ind w:left="426" w:hanging="426"/>
        <w:jc w:val="both"/>
        <w:outlineLvl w:val="1"/>
        <w:rPr>
          <w:rFonts w:ascii="Cambria" w:eastAsia="Times New Roman" w:hAnsi="Cambria"/>
          <w:b/>
          <w:kern w:val="0"/>
          <w:sz w:val="28"/>
          <w:szCs w:val="28"/>
          <w:lang w:eastAsia="en-IN"/>
        </w:rPr>
      </w:pPr>
      <w:r w:rsidRPr="00FF2DF0">
        <w:rPr>
          <w:rFonts w:ascii="Cambria" w:eastAsia="Times New Roman" w:hAnsi="Cambria"/>
          <w:b/>
          <w:kern w:val="0"/>
          <w:sz w:val="28"/>
          <w:szCs w:val="28"/>
          <w:lang w:eastAsia="en-IN"/>
        </w:rPr>
        <w:t>Process of Formulation</w:t>
      </w:r>
    </w:p>
    <w:p w:rsidR="00FF2DF0" w:rsidRPr="00FF2DF0" w:rsidRDefault="00FF2DF0" w:rsidP="00FF2DF0">
      <w:pPr>
        <w:spacing w:before="100" w:beforeAutospacing="1" w:after="100" w:afterAutospacing="1" w:line="276" w:lineRule="auto"/>
        <w:jc w:val="both"/>
        <w:rPr>
          <w:rFonts w:ascii="Cambria" w:eastAsia="Times New Roman" w:hAnsi="Cambria"/>
          <w:kern w:val="0"/>
          <w:lang w:eastAsia="en-IN"/>
        </w:rPr>
      </w:pPr>
      <w:r w:rsidRPr="00FF2DF0">
        <w:rPr>
          <w:rFonts w:ascii="Cambria" w:eastAsia="Times New Roman" w:hAnsi="Cambria"/>
          <w:kern w:val="0"/>
          <w:lang w:eastAsia="en-IN"/>
        </w:rPr>
        <w:t xml:space="preserve">The following step-by-step process is adopted for the formulation or revision of the Vision and Mission statements of </w:t>
      </w:r>
      <w:r w:rsidR="00AB2C2B">
        <w:rPr>
          <w:rFonts w:ascii="Cambria" w:eastAsia="Times New Roman" w:hAnsi="Cambria"/>
          <w:kern w:val="0"/>
          <w:lang w:eastAsia="en-IN"/>
        </w:rPr>
        <w:t>the institute</w:t>
      </w:r>
      <w:r w:rsidRPr="00FF2DF0">
        <w:rPr>
          <w:rFonts w:ascii="Cambria" w:eastAsia="Times New Roman" w:hAnsi="Cambria"/>
          <w:kern w:val="0"/>
          <w:lang w:eastAsia="en-IN"/>
        </w:rPr>
        <w:t>:</w:t>
      </w:r>
    </w:p>
    <w:p w:rsidR="00FF2DF0" w:rsidRPr="00AB2C2B" w:rsidRDefault="00AB2C2B" w:rsidP="00AB2C2B">
      <w:pPr>
        <w:pStyle w:val="Heading4"/>
      </w:pPr>
      <w:r w:rsidRPr="00AB2C2B">
        <w:t>Stakeholder Consultation and Input Collection</w:t>
      </w:r>
    </w:p>
    <w:p w:rsidR="00FF2DF0" w:rsidRPr="00FF2DF0" w:rsidRDefault="00FF2DF0" w:rsidP="00FF2DF0">
      <w:pPr>
        <w:spacing w:before="100" w:beforeAutospacing="1" w:after="100" w:afterAutospacing="1" w:line="276" w:lineRule="auto"/>
        <w:jc w:val="both"/>
        <w:rPr>
          <w:rFonts w:ascii="Cambria" w:eastAsia="Times New Roman" w:hAnsi="Cambria"/>
          <w:kern w:val="0"/>
          <w:lang w:eastAsia="en-IN"/>
        </w:rPr>
      </w:pPr>
      <w:r w:rsidRPr="00FF2DF0">
        <w:rPr>
          <w:rFonts w:ascii="Cambria" w:eastAsia="Times New Roman" w:hAnsi="Cambria"/>
          <w:kern w:val="0"/>
          <w:lang w:eastAsia="en-IN"/>
        </w:rPr>
        <w:t>Inputs are gathered from various sources including:</w:t>
      </w:r>
    </w:p>
    <w:p w:rsidR="00AB2C2B" w:rsidRPr="00AB2C2B" w:rsidRDefault="00AB2C2B" w:rsidP="00AB2C2B">
      <w:pPr>
        <w:pStyle w:val="Title"/>
        <w:spacing w:line="360" w:lineRule="auto"/>
      </w:pPr>
      <w:r w:rsidRPr="00AB2C2B">
        <w:t>Management and Governing Body</w:t>
      </w:r>
    </w:p>
    <w:p w:rsidR="00AB2C2B" w:rsidRPr="00AB2C2B" w:rsidRDefault="00AB2C2B" w:rsidP="00AB2C2B">
      <w:pPr>
        <w:pStyle w:val="Title"/>
        <w:spacing w:line="276" w:lineRule="auto"/>
      </w:pPr>
      <w:r w:rsidRPr="00AB2C2B">
        <w:t>Principal and Senior Administrative Officers</w:t>
      </w:r>
    </w:p>
    <w:p w:rsidR="00AB2C2B" w:rsidRPr="00AB2C2B" w:rsidRDefault="00AB2C2B" w:rsidP="00AB2C2B">
      <w:pPr>
        <w:pStyle w:val="Title"/>
        <w:spacing w:line="360" w:lineRule="auto"/>
      </w:pPr>
      <w:r w:rsidRPr="00AB2C2B">
        <w:t>Faculty Members and Department Heads</w:t>
      </w:r>
    </w:p>
    <w:p w:rsidR="00AB2C2B" w:rsidRPr="00AB2C2B" w:rsidRDefault="00AB2C2B" w:rsidP="00AB2C2B">
      <w:pPr>
        <w:pStyle w:val="Title"/>
        <w:spacing w:line="360" w:lineRule="auto"/>
      </w:pPr>
      <w:r w:rsidRPr="00AB2C2B">
        <w:t>Students, Alumni, Employers, and Industry Experts</w:t>
      </w:r>
    </w:p>
    <w:p w:rsidR="00AB2C2B" w:rsidRPr="00AB2C2B" w:rsidRDefault="00AB2C2B" w:rsidP="00AB2C2B">
      <w:pPr>
        <w:pStyle w:val="Title"/>
        <w:spacing w:line="360" w:lineRule="auto"/>
      </w:pPr>
      <w:r w:rsidRPr="00AB2C2B">
        <w:t>Vision statements of regulatory bodies (AICTE, UGC, NAAC, KTU)</w:t>
      </w:r>
    </w:p>
    <w:p w:rsidR="00AB2C2B" w:rsidRDefault="00AB2C2B" w:rsidP="00AB2C2B">
      <w:pPr>
        <w:pStyle w:val="Title"/>
        <w:spacing w:line="360" w:lineRule="auto"/>
      </w:pPr>
      <w:r w:rsidRPr="00AB2C2B">
        <w:lastRenderedPageBreak/>
        <w:t>National policies and education frameworks (NEP 2020, SDGs)</w:t>
      </w:r>
    </w:p>
    <w:p w:rsidR="00AB2C2B" w:rsidRPr="00AB2C2B" w:rsidRDefault="00AB2C2B" w:rsidP="00AB2C2B">
      <w:pPr>
        <w:pStyle w:val="Title"/>
        <w:numPr>
          <w:ilvl w:val="0"/>
          <w:numId w:val="0"/>
        </w:numPr>
        <w:spacing w:before="240" w:after="240" w:line="360" w:lineRule="auto"/>
      </w:pPr>
      <w:r w:rsidRPr="00AB2C2B">
        <w:t>Methods of input collection:</w:t>
      </w:r>
    </w:p>
    <w:p w:rsidR="00AB2C2B" w:rsidRPr="00AB2C2B" w:rsidRDefault="00AB2C2B" w:rsidP="00AB2C2B">
      <w:pPr>
        <w:pStyle w:val="Title"/>
        <w:spacing w:line="360" w:lineRule="auto"/>
      </w:pPr>
      <w:r w:rsidRPr="00AB2C2B">
        <w:t>Surveys and structured questionnaires</w:t>
      </w:r>
    </w:p>
    <w:p w:rsidR="00AB2C2B" w:rsidRPr="00AB2C2B" w:rsidRDefault="00AB2C2B" w:rsidP="00AB2C2B">
      <w:pPr>
        <w:pStyle w:val="Title"/>
        <w:spacing w:line="360" w:lineRule="auto"/>
      </w:pPr>
      <w:r w:rsidRPr="00AB2C2B">
        <w:t>Strategic workshops and brainstorming sessions</w:t>
      </w:r>
    </w:p>
    <w:p w:rsidR="00AB2C2B" w:rsidRPr="00AB2C2B" w:rsidRDefault="00AB2C2B" w:rsidP="00AB2C2B">
      <w:pPr>
        <w:pStyle w:val="Title"/>
        <w:spacing w:line="360" w:lineRule="auto"/>
      </w:pPr>
      <w:r w:rsidRPr="00AB2C2B">
        <w:t>Stakeholder meetings</w:t>
      </w:r>
    </w:p>
    <w:p w:rsidR="00AB2C2B" w:rsidRDefault="00AB2C2B" w:rsidP="00AB2C2B">
      <w:pPr>
        <w:pStyle w:val="Heading4"/>
      </w:pPr>
      <w:r w:rsidRPr="00AB2C2B">
        <w:t>Drafting the Vision and Mission</w:t>
      </w:r>
    </w:p>
    <w:p w:rsidR="00AB2C2B" w:rsidRDefault="00AB2C2B" w:rsidP="00AB2C2B">
      <w:pPr>
        <w:pStyle w:val="Title"/>
      </w:pPr>
      <w:r>
        <w:t xml:space="preserve">A </w:t>
      </w:r>
      <w:r>
        <w:rPr>
          <w:rStyle w:val="Strong"/>
        </w:rPr>
        <w:t>core drafting committee</w:t>
      </w:r>
      <w:r>
        <w:t xml:space="preserve"> is formed by the Principal with representation from:</w:t>
      </w:r>
    </w:p>
    <w:p w:rsidR="00AB2C2B" w:rsidRDefault="00AB2C2B" w:rsidP="00AB2C2B">
      <w:pPr>
        <w:pStyle w:val="Title"/>
        <w:numPr>
          <w:ilvl w:val="1"/>
          <w:numId w:val="10"/>
        </w:numPr>
      </w:pPr>
      <w:r>
        <w:t>IQAC</w:t>
      </w:r>
    </w:p>
    <w:p w:rsidR="00AB2C2B" w:rsidRDefault="00AB2C2B" w:rsidP="00AB2C2B">
      <w:pPr>
        <w:pStyle w:val="Title"/>
        <w:numPr>
          <w:ilvl w:val="1"/>
          <w:numId w:val="10"/>
        </w:numPr>
      </w:pPr>
      <w:r>
        <w:t>Senior Faculty</w:t>
      </w:r>
    </w:p>
    <w:p w:rsidR="00AB2C2B" w:rsidRDefault="00AB2C2B" w:rsidP="00AB2C2B">
      <w:pPr>
        <w:pStyle w:val="Title"/>
        <w:numPr>
          <w:ilvl w:val="1"/>
          <w:numId w:val="10"/>
        </w:numPr>
      </w:pPr>
      <w:r>
        <w:t>Management Representatives</w:t>
      </w:r>
    </w:p>
    <w:p w:rsidR="00AB2C2B" w:rsidRDefault="00AB2C2B" w:rsidP="00AB2C2B">
      <w:pPr>
        <w:pStyle w:val="Title"/>
        <w:numPr>
          <w:ilvl w:val="1"/>
          <w:numId w:val="10"/>
        </w:numPr>
      </w:pPr>
      <w:r>
        <w:t>Industry and Alumni</w:t>
      </w:r>
    </w:p>
    <w:p w:rsidR="00AB2C2B" w:rsidRDefault="00AB2C2B" w:rsidP="00AB2C2B">
      <w:pPr>
        <w:pStyle w:val="Title"/>
      </w:pPr>
      <w:r>
        <w:t xml:space="preserve">The committee synthesizes the collected inputs and prepares the </w:t>
      </w:r>
      <w:r>
        <w:rPr>
          <w:rStyle w:val="Strong"/>
        </w:rPr>
        <w:t>first draft</w:t>
      </w:r>
      <w:r>
        <w:t xml:space="preserve"> of Vision and Mission.</w:t>
      </w:r>
    </w:p>
    <w:p w:rsidR="00AB2C2B" w:rsidRDefault="00AB2C2B" w:rsidP="00AB2C2B">
      <w:pPr>
        <w:pStyle w:val="Title"/>
      </w:pPr>
      <w:r>
        <w:t>The draft must:</w:t>
      </w:r>
    </w:p>
    <w:p w:rsidR="00AB2C2B" w:rsidRDefault="00AB2C2B" w:rsidP="00AB2C2B">
      <w:pPr>
        <w:pStyle w:val="Title"/>
        <w:numPr>
          <w:ilvl w:val="1"/>
          <w:numId w:val="10"/>
        </w:numPr>
      </w:pPr>
      <w:r>
        <w:t xml:space="preserve">Reflect the </w:t>
      </w:r>
      <w:r>
        <w:rPr>
          <w:rStyle w:val="Strong"/>
        </w:rPr>
        <w:t>core values</w:t>
      </w:r>
      <w:r>
        <w:t xml:space="preserve"> of the institution</w:t>
      </w:r>
    </w:p>
    <w:p w:rsidR="00AB2C2B" w:rsidRDefault="00AB2C2B" w:rsidP="00AB2C2B">
      <w:pPr>
        <w:pStyle w:val="Title"/>
        <w:numPr>
          <w:ilvl w:val="1"/>
          <w:numId w:val="10"/>
        </w:numPr>
      </w:pPr>
      <w:r>
        <w:t xml:space="preserve">Be </w:t>
      </w:r>
      <w:r>
        <w:rPr>
          <w:rStyle w:val="Strong"/>
        </w:rPr>
        <w:t>forward-looking</w:t>
      </w:r>
      <w:r>
        <w:t>, concise, and inspiring</w:t>
      </w:r>
    </w:p>
    <w:p w:rsidR="00AB2C2B" w:rsidRDefault="00AB2C2B" w:rsidP="00AB2C2B">
      <w:pPr>
        <w:pStyle w:val="Title"/>
        <w:numPr>
          <w:ilvl w:val="1"/>
          <w:numId w:val="10"/>
        </w:numPr>
      </w:pPr>
      <w:r>
        <w:t xml:space="preserve">Align with the </w:t>
      </w:r>
      <w:r>
        <w:rPr>
          <w:rStyle w:val="Strong"/>
        </w:rPr>
        <w:t>expected graduate attributes</w:t>
      </w:r>
    </w:p>
    <w:p w:rsidR="00AB2C2B" w:rsidRDefault="00AB2C2B" w:rsidP="00AB2C2B">
      <w:pPr>
        <w:pStyle w:val="Heading4"/>
      </w:pPr>
      <w:r>
        <w:rPr>
          <w:rStyle w:val="Strong"/>
          <w:b/>
          <w:bCs w:val="0"/>
        </w:rPr>
        <w:t>Review and Validation</w:t>
      </w:r>
    </w:p>
    <w:p w:rsidR="00AB2C2B" w:rsidRDefault="00AB2C2B" w:rsidP="00AB2C2B">
      <w:pPr>
        <w:pStyle w:val="Title"/>
      </w:pPr>
      <w:r>
        <w:t>The draft is reviewed in successive stages by:</w:t>
      </w:r>
    </w:p>
    <w:p w:rsidR="00AB2C2B" w:rsidRDefault="00AB2C2B" w:rsidP="00AB2C2B">
      <w:pPr>
        <w:pStyle w:val="Title"/>
        <w:numPr>
          <w:ilvl w:val="1"/>
          <w:numId w:val="10"/>
        </w:numPr>
      </w:pPr>
      <w:r>
        <w:rPr>
          <w:rStyle w:val="Strong"/>
        </w:rPr>
        <w:t>IQAC</w:t>
      </w:r>
    </w:p>
    <w:p w:rsidR="00AB2C2B" w:rsidRDefault="00AB2C2B" w:rsidP="00AB2C2B">
      <w:pPr>
        <w:pStyle w:val="Title"/>
        <w:numPr>
          <w:ilvl w:val="1"/>
          <w:numId w:val="10"/>
        </w:numPr>
      </w:pPr>
      <w:r>
        <w:rPr>
          <w:rStyle w:val="Strong"/>
        </w:rPr>
        <w:t>Academic Council</w:t>
      </w:r>
    </w:p>
    <w:p w:rsidR="00AB2C2B" w:rsidRDefault="00AB2C2B" w:rsidP="00AB2C2B">
      <w:pPr>
        <w:pStyle w:val="Title"/>
        <w:numPr>
          <w:ilvl w:val="1"/>
          <w:numId w:val="10"/>
        </w:numPr>
      </w:pPr>
      <w:r>
        <w:rPr>
          <w:rStyle w:val="Strong"/>
        </w:rPr>
        <w:t>Governing Body</w:t>
      </w:r>
    </w:p>
    <w:p w:rsidR="00AB2C2B" w:rsidRDefault="00AB2C2B" w:rsidP="00AB2C2B">
      <w:pPr>
        <w:pStyle w:val="Title"/>
      </w:pPr>
      <w:r>
        <w:t>These bodies evaluate the consistency, clarity, and relevance of the statements.</w:t>
      </w:r>
    </w:p>
    <w:p w:rsidR="00AB2C2B" w:rsidRDefault="00AB2C2B" w:rsidP="00AB2C2B">
      <w:pPr>
        <w:pStyle w:val="Title"/>
      </w:pPr>
      <w:r>
        <w:t>Suggestions for improvement are incorporated before final approval.</w:t>
      </w:r>
    </w:p>
    <w:p w:rsidR="00AB2C2B" w:rsidRDefault="00AB2C2B" w:rsidP="00AB2C2B">
      <w:pPr>
        <w:pStyle w:val="Heading4"/>
      </w:pPr>
      <w:r>
        <w:rPr>
          <w:rStyle w:val="Strong"/>
          <w:b/>
          <w:bCs w:val="0"/>
        </w:rPr>
        <w:t>Approval</w:t>
      </w:r>
    </w:p>
    <w:p w:rsidR="00AB2C2B" w:rsidRDefault="00AB2C2B" w:rsidP="00AB2C2B">
      <w:pPr>
        <w:pStyle w:val="Title"/>
      </w:pPr>
      <w:r>
        <w:t xml:space="preserve">The </w:t>
      </w:r>
      <w:r>
        <w:rPr>
          <w:rStyle w:val="Strong"/>
        </w:rPr>
        <w:t>final version</w:t>
      </w:r>
      <w:r>
        <w:t xml:space="preserve"> is submitted to the </w:t>
      </w:r>
      <w:r>
        <w:rPr>
          <w:rStyle w:val="Strong"/>
        </w:rPr>
        <w:t>Governing Body</w:t>
      </w:r>
      <w:r>
        <w:t xml:space="preserve"> for formal adoption.</w:t>
      </w:r>
    </w:p>
    <w:p w:rsidR="00AB2C2B" w:rsidRDefault="00AB2C2B" w:rsidP="00AB2C2B">
      <w:pPr>
        <w:pStyle w:val="Title"/>
      </w:pPr>
      <w:r>
        <w:t xml:space="preserve">Once approved, the Vision and Mission statements become the </w:t>
      </w:r>
      <w:r>
        <w:rPr>
          <w:rStyle w:val="Strong"/>
        </w:rPr>
        <w:t>official guiding statements</w:t>
      </w:r>
      <w:r>
        <w:t xml:space="preserve"> of MBCCET.</w:t>
      </w:r>
    </w:p>
    <w:p w:rsidR="00AB2C2B" w:rsidRDefault="00AB2C2B" w:rsidP="00AB2C2B">
      <w:pPr>
        <w:pStyle w:val="Heading4"/>
      </w:pPr>
      <w:r>
        <w:rPr>
          <w:rStyle w:val="Strong"/>
          <w:b/>
          <w:bCs w:val="0"/>
        </w:rPr>
        <w:t>Dissemination and Integration</w:t>
      </w:r>
    </w:p>
    <w:p w:rsidR="00AB2C2B" w:rsidRDefault="00AB2C2B" w:rsidP="00AB2C2B">
      <w:pPr>
        <w:pStyle w:val="Title"/>
      </w:pPr>
      <w:r>
        <w:t>The statements are published on:</w:t>
      </w:r>
    </w:p>
    <w:p w:rsidR="00AB2C2B" w:rsidRDefault="00AB2C2B" w:rsidP="00AB2C2B">
      <w:pPr>
        <w:pStyle w:val="Title"/>
        <w:numPr>
          <w:ilvl w:val="1"/>
          <w:numId w:val="10"/>
        </w:numPr>
      </w:pPr>
      <w:r>
        <w:rPr>
          <w:rStyle w:val="Strong"/>
        </w:rPr>
        <w:t>College website</w:t>
      </w:r>
    </w:p>
    <w:p w:rsidR="00AB2C2B" w:rsidRDefault="00AB2C2B" w:rsidP="00AB2C2B">
      <w:pPr>
        <w:pStyle w:val="Title"/>
        <w:numPr>
          <w:ilvl w:val="1"/>
          <w:numId w:val="10"/>
        </w:numPr>
      </w:pPr>
      <w:r>
        <w:rPr>
          <w:rStyle w:val="Strong"/>
        </w:rPr>
        <w:t>Academic Handbooks and Prospectus</w:t>
      </w:r>
    </w:p>
    <w:p w:rsidR="00AB2C2B" w:rsidRDefault="00AB2C2B" w:rsidP="00AB2C2B">
      <w:pPr>
        <w:pStyle w:val="Title"/>
        <w:numPr>
          <w:ilvl w:val="1"/>
          <w:numId w:val="10"/>
        </w:numPr>
      </w:pPr>
      <w:r>
        <w:rPr>
          <w:rStyle w:val="Strong"/>
        </w:rPr>
        <w:t>Strategic Plans and Annual Reports</w:t>
      </w:r>
    </w:p>
    <w:p w:rsidR="00AB2C2B" w:rsidRDefault="00AB2C2B" w:rsidP="00AB2C2B">
      <w:pPr>
        <w:pStyle w:val="Title"/>
        <w:numPr>
          <w:ilvl w:val="1"/>
          <w:numId w:val="10"/>
        </w:numPr>
      </w:pPr>
      <w:r>
        <w:rPr>
          <w:rStyle w:val="Strong"/>
        </w:rPr>
        <w:t>Student Induction Materials and Presentations</w:t>
      </w:r>
    </w:p>
    <w:p w:rsidR="00AB2C2B" w:rsidRDefault="00AB2C2B" w:rsidP="00AB2C2B">
      <w:pPr>
        <w:pStyle w:val="Title"/>
      </w:pPr>
      <w:r>
        <w:t>Faculty and staff are oriented on how to align departmental and individual goals with institutional Vision and Mission.</w:t>
      </w:r>
    </w:p>
    <w:p w:rsidR="00AB2C2B" w:rsidRDefault="00AB2C2B" w:rsidP="00AB2C2B">
      <w:pPr>
        <w:pStyle w:val="Heading4"/>
      </w:pPr>
      <w:r>
        <w:rPr>
          <w:rStyle w:val="Strong"/>
          <w:b/>
          <w:bCs w:val="0"/>
        </w:rPr>
        <w:t>Periodic Review</w:t>
      </w:r>
    </w:p>
    <w:p w:rsidR="00AB2C2B" w:rsidRDefault="00AB2C2B" w:rsidP="00AB2C2B">
      <w:pPr>
        <w:pStyle w:val="Title"/>
      </w:pPr>
      <w:r>
        <w:t>Vision and Mission statements are reviewed:</w:t>
      </w:r>
    </w:p>
    <w:p w:rsidR="00AB2C2B" w:rsidRDefault="00AB2C2B" w:rsidP="00AB2C2B">
      <w:pPr>
        <w:pStyle w:val="Title"/>
        <w:numPr>
          <w:ilvl w:val="1"/>
          <w:numId w:val="10"/>
        </w:numPr>
      </w:pPr>
      <w:r>
        <w:rPr>
          <w:rStyle w:val="Strong"/>
        </w:rPr>
        <w:t>Every</w:t>
      </w:r>
      <w:r>
        <w:rPr>
          <w:rStyle w:val="Strong"/>
        </w:rPr>
        <w:t xml:space="preserve"> 10</w:t>
      </w:r>
      <w:r>
        <w:rPr>
          <w:rStyle w:val="Strong"/>
        </w:rPr>
        <w:t xml:space="preserve"> years</w:t>
      </w:r>
      <w:r>
        <w:t>, or</w:t>
      </w:r>
    </w:p>
    <w:p w:rsidR="00AB2C2B" w:rsidRDefault="00AB2C2B" w:rsidP="00AB2C2B">
      <w:pPr>
        <w:pStyle w:val="Title"/>
        <w:numPr>
          <w:ilvl w:val="1"/>
          <w:numId w:val="10"/>
        </w:numPr>
      </w:pPr>
      <w:r>
        <w:rPr>
          <w:rStyle w:val="Strong"/>
        </w:rPr>
        <w:t>As needed</w:t>
      </w:r>
      <w:r>
        <w:t>, during major strategic or policy shifts (e.g., NEP implementation)</w:t>
      </w:r>
    </w:p>
    <w:p w:rsidR="00AB2C2B" w:rsidRDefault="00AB2C2B" w:rsidP="00AB2C2B">
      <w:pPr>
        <w:pStyle w:val="Title"/>
      </w:pPr>
      <w:r>
        <w:t>The review process mirrors the original formulation process with updated stakeholder inputs.</w:t>
      </w:r>
    </w:p>
    <w:p w:rsidR="00AB2C2B" w:rsidRDefault="00AB2C2B" w:rsidP="00AB2C2B">
      <w:pPr>
        <w:pStyle w:val="Title"/>
      </w:pPr>
      <w:r>
        <w:t xml:space="preserve">The goal is to ensure </w:t>
      </w:r>
      <w:r>
        <w:rPr>
          <w:rStyle w:val="Strong"/>
        </w:rPr>
        <w:t>relevance, clarity, and alignment</w:t>
      </w:r>
      <w:r>
        <w:t xml:space="preserve"> with evolving academic and societal contexts.</w:t>
      </w:r>
    </w:p>
    <w:p w:rsidR="00AB2C2B" w:rsidRDefault="00AB2C2B" w:rsidP="00FD270E">
      <w:pPr>
        <w:pStyle w:val="Heading3"/>
        <w:numPr>
          <w:ilvl w:val="0"/>
          <w:numId w:val="9"/>
        </w:numPr>
        <w:ind w:hanging="502"/>
      </w:pPr>
      <w:r>
        <w:rPr>
          <w:rStyle w:val="Strong"/>
          <w:b/>
          <w:bCs w:val="0"/>
        </w:rPr>
        <w:t>Responsible Units</w:t>
      </w:r>
    </w:p>
    <w:tbl>
      <w:tblPr>
        <w:tblStyle w:val="TableGrid"/>
        <w:tblW w:w="9031" w:type="dxa"/>
        <w:tblInd w:w="421" w:type="dxa"/>
        <w:tblLook w:val="04A0" w:firstRow="1" w:lastRow="0" w:firstColumn="1" w:lastColumn="0" w:noHBand="0" w:noVBand="1"/>
      </w:tblPr>
      <w:tblGrid>
        <w:gridCol w:w="3773"/>
        <w:gridCol w:w="5258"/>
      </w:tblGrid>
      <w:tr w:rsidR="00AB2C2B" w:rsidTr="00DF3F8D">
        <w:trPr>
          <w:trHeight w:val="447"/>
        </w:trPr>
        <w:tc>
          <w:tcPr>
            <w:tcW w:w="0" w:type="auto"/>
            <w:hideMark/>
          </w:tcPr>
          <w:p w:rsidR="00AB2C2B" w:rsidRDefault="00AB2C2B">
            <w:pPr>
              <w:jc w:val="center"/>
              <w:rPr>
                <w:b/>
                <w:bCs/>
              </w:rPr>
            </w:pPr>
            <w:r>
              <w:rPr>
                <w:rStyle w:val="Strong"/>
              </w:rPr>
              <w:t>Activity</w:t>
            </w:r>
          </w:p>
        </w:tc>
        <w:tc>
          <w:tcPr>
            <w:tcW w:w="0" w:type="auto"/>
            <w:hideMark/>
          </w:tcPr>
          <w:p w:rsidR="00AB2C2B" w:rsidRDefault="00AB2C2B">
            <w:pPr>
              <w:jc w:val="center"/>
              <w:rPr>
                <w:b/>
                <w:bCs/>
              </w:rPr>
            </w:pPr>
            <w:r>
              <w:rPr>
                <w:rStyle w:val="Strong"/>
              </w:rPr>
              <w:t>Responsible Unit</w:t>
            </w:r>
          </w:p>
        </w:tc>
      </w:tr>
      <w:tr w:rsidR="00AB2C2B" w:rsidTr="00DF3F8D">
        <w:trPr>
          <w:trHeight w:val="447"/>
        </w:trPr>
        <w:tc>
          <w:tcPr>
            <w:tcW w:w="0" w:type="auto"/>
            <w:hideMark/>
          </w:tcPr>
          <w:p w:rsidR="00AB2C2B" w:rsidRDefault="00AB2C2B" w:rsidP="00FD270E">
            <w:pPr>
              <w:ind w:left="220"/>
            </w:pPr>
            <w:r>
              <w:t>Input collection</w:t>
            </w:r>
          </w:p>
        </w:tc>
        <w:tc>
          <w:tcPr>
            <w:tcW w:w="0" w:type="auto"/>
            <w:hideMark/>
          </w:tcPr>
          <w:p w:rsidR="00AB2C2B" w:rsidRDefault="00AB2C2B" w:rsidP="00FD270E">
            <w:pPr>
              <w:ind w:left="223"/>
            </w:pPr>
            <w:r>
              <w:t>IQAC / Principal’s Office / Departments</w:t>
            </w:r>
          </w:p>
        </w:tc>
      </w:tr>
      <w:tr w:rsidR="00AB2C2B" w:rsidTr="00DF3F8D">
        <w:trPr>
          <w:trHeight w:val="447"/>
        </w:trPr>
        <w:tc>
          <w:tcPr>
            <w:tcW w:w="0" w:type="auto"/>
            <w:hideMark/>
          </w:tcPr>
          <w:p w:rsidR="00AB2C2B" w:rsidRDefault="00AB2C2B" w:rsidP="00FD270E">
            <w:pPr>
              <w:ind w:left="220"/>
            </w:pPr>
            <w:r>
              <w:t>Drafting and coordination</w:t>
            </w:r>
          </w:p>
        </w:tc>
        <w:tc>
          <w:tcPr>
            <w:tcW w:w="0" w:type="auto"/>
            <w:hideMark/>
          </w:tcPr>
          <w:p w:rsidR="00AB2C2B" w:rsidRDefault="00AB2C2B" w:rsidP="00FD270E">
            <w:pPr>
              <w:ind w:left="223"/>
            </w:pPr>
            <w:r>
              <w:t>IQAC / Drafting Committee</w:t>
            </w:r>
          </w:p>
        </w:tc>
      </w:tr>
      <w:tr w:rsidR="00AB2C2B" w:rsidTr="00DF3F8D">
        <w:trPr>
          <w:trHeight w:val="447"/>
        </w:trPr>
        <w:tc>
          <w:tcPr>
            <w:tcW w:w="0" w:type="auto"/>
            <w:hideMark/>
          </w:tcPr>
          <w:p w:rsidR="00AB2C2B" w:rsidRDefault="00AB2C2B" w:rsidP="00FD270E">
            <w:pPr>
              <w:ind w:left="220"/>
            </w:pPr>
            <w:r>
              <w:t>Review and validation</w:t>
            </w:r>
          </w:p>
        </w:tc>
        <w:tc>
          <w:tcPr>
            <w:tcW w:w="0" w:type="auto"/>
            <w:hideMark/>
          </w:tcPr>
          <w:p w:rsidR="00AB2C2B" w:rsidRDefault="00AB2C2B" w:rsidP="00FD270E">
            <w:pPr>
              <w:ind w:left="223"/>
            </w:pPr>
            <w:r>
              <w:t>Academic Council / IQAC / Management</w:t>
            </w:r>
          </w:p>
        </w:tc>
      </w:tr>
      <w:tr w:rsidR="00AB2C2B" w:rsidTr="00DF3F8D">
        <w:trPr>
          <w:trHeight w:val="460"/>
        </w:trPr>
        <w:tc>
          <w:tcPr>
            <w:tcW w:w="0" w:type="auto"/>
            <w:hideMark/>
          </w:tcPr>
          <w:p w:rsidR="00AB2C2B" w:rsidRDefault="00AB2C2B" w:rsidP="00FD270E">
            <w:pPr>
              <w:ind w:left="220"/>
            </w:pPr>
            <w:r>
              <w:t>Final approval</w:t>
            </w:r>
          </w:p>
        </w:tc>
        <w:tc>
          <w:tcPr>
            <w:tcW w:w="0" w:type="auto"/>
            <w:hideMark/>
          </w:tcPr>
          <w:p w:rsidR="00AB2C2B" w:rsidRDefault="00AB2C2B" w:rsidP="00FD270E">
            <w:pPr>
              <w:ind w:left="223"/>
            </w:pPr>
            <w:r>
              <w:t>Governing Body</w:t>
            </w:r>
          </w:p>
        </w:tc>
      </w:tr>
      <w:tr w:rsidR="00AB2C2B" w:rsidTr="00DF3F8D">
        <w:trPr>
          <w:trHeight w:val="447"/>
        </w:trPr>
        <w:tc>
          <w:tcPr>
            <w:tcW w:w="0" w:type="auto"/>
            <w:hideMark/>
          </w:tcPr>
          <w:p w:rsidR="00AB2C2B" w:rsidRDefault="00AB2C2B" w:rsidP="00FD270E">
            <w:pPr>
              <w:ind w:left="220"/>
            </w:pPr>
            <w:r>
              <w:t>Dissemination</w:t>
            </w:r>
          </w:p>
        </w:tc>
        <w:tc>
          <w:tcPr>
            <w:tcW w:w="0" w:type="auto"/>
            <w:hideMark/>
          </w:tcPr>
          <w:p w:rsidR="00AB2C2B" w:rsidRDefault="00AB2C2B" w:rsidP="00FD270E">
            <w:pPr>
              <w:ind w:left="223"/>
            </w:pPr>
            <w:r>
              <w:t>Principal / Website Coordinator / IQAC</w:t>
            </w:r>
          </w:p>
        </w:tc>
      </w:tr>
      <w:tr w:rsidR="00AB2C2B" w:rsidTr="00DF3F8D">
        <w:trPr>
          <w:trHeight w:val="447"/>
        </w:trPr>
        <w:tc>
          <w:tcPr>
            <w:tcW w:w="0" w:type="auto"/>
            <w:hideMark/>
          </w:tcPr>
          <w:p w:rsidR="00AB2C2B" w:rsidRDefault="00AB2C2B" w:rsidP="00FD270E">
            <w:pPr>
              <w:ind w:left="220"/>
            </w:pPr>
            <w:r>
              <w:t>Periodic review and revision</w:t>
            </w:r>
          </w:p>
        </w:tc>
        <w:tc>
          <w:tcPr>
            <w:tcW w:w="0" w:type="auto"/>
            <w:hideMark/>
          </w:tcPr>
          <w:p w:rsidR="00AB2C2B" w:rsidRDefault="00AB2C2B" w:rsidP="00FD270E">
            <w:pPr>
              <w:ind w:left="223"/>
            </w:pPr>
            <w:r>
              <w:t>IQAC / Governing Body</w:t>
            </w:r>
          </w:p>
        </w:tc>
      </w:tr>
    </w:tbl>
    <w:p w:rsidR="00AB2C2B" w:rsidRPr="00AB2C2B" w:rsidRDefault="00AB2C2B" w:rsidP="00DF3F8D">
      <w:pPr>
        <w:ind w:left="284"/>
        <w:rPr>
          <w:lang w:eastAsia="en-IN"/>
        </w:rPr>
      </w:pPr>
      <w:bookmarkStart w:id="0" w:name="_GoBack"/>
      <w:bookmarkEnd w:id="0"/>
    </w:p>
    <w:sectPr w:rsidR="00AB2C2B" w:rsidRPr="00AB2C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E744E"/>
    <w:multiLevelType w:val="multilevel"/>
    <w:tmpl w:val="47E808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773C1"/>
    <w:multiLevelType w:val="multilevel"/>
    <w:tmpl w:val="1326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E07D9"/>
    <w:multiLevelType w:val="multilevel"/>
    <w:tmpl w:val="99782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C92AA2"/>
    <w:multiLevelType w:val="multilevel"/>
    <w:tmpl w:val="9B8CE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590496"/>
    <w:multiLevelType w:val="multilevel"/>
    <w:tmpl w:val="347E25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3C7DFC"/>
    <w:multiLevelType w:val="multilevel"/>
    <w:tmpl w:val="1F323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D5431E"/>
    <w:multiLevelType w:val="multilevel"/>
    <w:tmpl w:val="293A0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D934F0"/>
    <w:multiLevelType w:val="multilevel"/>
    <w:tmpl w:val="2752BF94"/>
    <w:lvl w:ilvl="0">
      <w:start w:val="1"/>
      <w:numFmt w:val="bullet"/>
      <w:pStyle w:val="Title"/>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C4708D"/>
    <w:multiLevelType w:val="multilevel"/>
    <w:tmpl w:val="390A9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401646"/>
    <w:multiLevelType w:val="multilevel"/>
    <w:tmpl w:val="3EBE7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533401"/>
    <w:multiLevelType w:val="multilevel"/>
    <w:tmpl w:val="88E4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9162D0"/>
    <w:multiLevelType w:val="multilevel"/>
    <w:tmpl w:val="1DE4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EB6181"/>
    <w:multiLevelType w:val="multilevel"/>
    <w:tmpl w:val="C0C2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ED7B4F"/>
    <w:multiLevelType w:val="multilevel"/>
    <w:tmpl w:val="A7DC4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457D6E"/>
    <w:multiLevelType w:val="multilevel"/>
    <w:tmpl w:val="1B3C50F6"/>
    <w:lvl w:ilvl="0">
      <w:start w:val="1"/>
      <w:numFmt w:val="decimal"/>
      <w:lvlText w:val="%1."/>
      <w:lvlJc w:val="left"/>
      <w:pPr>
        <w:ind w:left="502" w:hanging="360"/>
      </w:pPr>
      <w:rPr>
        <w:rFonts w:hint="default"/>
      </w:rPr>
    </w:lvl>
    <w:lvl w:ilvl="1">
      <w:start w:val="1"/>
      <w:numFmt w:val="decimal"/>
      <w:pStyle w:val="Heading4"/>
      <w:isLgl/>
      <w:lvlText w:val="%1.%2"/>
      <w:lvlJc w:val="left"/>
      <w:pPr>
        <w:ind w:left="1146"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2074"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002" w:hanging="1440"/>
      </w:pPr>
      <w:rPr>
        <w:rFonts w:hint="default"/>
      </w:rPr>
    </w:lvl>
    <w:lvl w:ilvl="6">
      <w:start w:val="1"/>
      <w:numFmt w:val="decimal"/>
      <w:isLgl/>
      <w:lvlText w:val="%1.%2.%3.%4.%5.%6.%7"/>
      <w:lvlJc w:val="left"/>
      <w:pPr>
        <w:ind w:left="3646" w:hanging="1800"/>
      </w:pPr>
      <w:rPr>
        <w:rFonts w:hint="default"/>
      </w:rPr>
    </w:lvl>
    <w:lvl w:ilvl="7">
      <w:start w:val="1"/>
      <w:numFmt w:val="decimal"/>
      <w:isLgl/>
      <w:lvlText w:val="%1.%2.%3.%4.%5.%6.%7.%8"/>
      <w:lvlJc w:val="left"/>
      <w:pPr>
        <w:ind w:left="3930" w:hanging="1800"/>
      </w:pPr>
      <w:rPr>
        <w:rFonts w:hint="default"/>
      </w:rPr>
    </w:lvl>
    <w:lvl w:ilvl="8">
      <w:start w:val="1"/>
      <w:numFmt w:val="decimal"/>
      <w:isLgl/>
      <w:lvlText w:val="%1.%2.%3.%4.%5.%6.%7.%8.%9"/>
      <w:lvlJc w:val="left"/>
      <w:pPr>
        <w:ind w:left="4574" w:hanging="2160"/>
      </w:pPr>
      <w:rPr>
        <w:rFonts w:hint="default"/>
      </w:rPr>
    </w:lvl>
  </w:abstractNum>
  <w:num w:numId="1">
    <w:abstractNumId w:val="10"/>
  </w:num>
  <w:num w:numId="2">
    <w:abstractNumId w:val="11"/>
  </w:num>
  <w:num w:numId="3">
    <w:abstractNumId w:val="12"/>
  </w:num>
  <w:num w:numId="4">
    <w:abstractNumId w:val="9"/>
  </w:num>
  <w:num w:numId="5">
    <w:abstractNumId w:val="4"/>
  </w:num>
  <w:num w:numId="6">
    <w:abstractNumId w:val="13"/>
  </w:num>
  <w:num w:numId="7">
    <w:abstractNumId w:val="1"/>
  </w:num>
  <w:num w:numId="8">
    <w:abstractNumId w:val="5"/>
  </w:num>
  <w:num w:numId="9">
    <w:abstractNumId w:val="14"/>
  </w:num>
  <w:num w:numId="10">
    <w:abstractNumId w:val="7"/>
  </w:num>
  <w:num w:numId="11">
    <w:abstractNumId w:val="6"/>
  </w:num>
  <w:num w:numId="12">
    <w:abstractNumId w:val="3"/>
  </w:num>
  <w:num w:numId="13">
    <w:abstractNumId w:val="2"/>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DF0"/>
    <w:rsid w:val="001B70E2"/>
    <w:rsid w:val="00323D50"/>
    <w:rsid w:val="00550051"/>
    <w:rsid w:val="00584876"/>
    <w:rsid w:val="0071406B"/>
    <w:rsid w:val="009B146D"/>
    <w:rsid w:val="00AB2C2B"/>
    <w:rsid w:val="00DF3F8D"/>
    <w:rsid w:val="00F656E8"/>
    <w:rsid w:val="00FD270E"/>
    <w:rsid w:val="00FF2D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78B78"/>
  <w15:chartTrackingRefBased/>
  <w15:docId w15:val="{6E79BC46-7F81-43D5-8539-CB0CCBFEF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F2DF0"/>
    <w:pPr>
      <w:spacing w:before="100" w:beforeAutospacing="1" w:after="100" w:afterAutospacing="1" w:line="240" w:lineRule="auto"/>
      <w:outlineLvl w:val="1"/>
    </w:pPr>
    <w:rPr>
      <w:rFonts w:eastAsia="Times New Roman"/>
      <w:b/>
      <w:kern w:val="0"/>
      <w:sz w:val="36"/>
      <w:szCs w:val="36"/>
      <w:lang w:eastAsia="en-IN"/>
    </w:rPr>
  </w:style>
  <w:style w:type="paragraph" w:styleId="Heading3">
    <w:name w:val="heading 3"/>
    <w:basedOn w:val="Normal"/>
    <w:link w:val="Heading3Char"/>
    <w:uiPriority w:val="9"/>
    <w:qFormat/>
    <w:rsid w:val="00FF2DF0"/>
    <w:pPr>
      <w:spacing w:before="100" w:beforeAutospacing="1" w:after="100" w:afterAutospacing="1" w:line="240" w:lineRule="auto"/>
      <w:outlineLvl w:val="2"/>
    </w:pPr>
    <w:rPr>
      <w:rFonts w:eastAsia="Times New Roman"/>
      <w:b/>
      <w:kern w:val="0"/>
      <w:sz w:val="27"/>
      <w:szCs w:val="27"/>
      <w:lang w:eastAsia="en-IN"/>
    </w:rPr>
  </w:style>
  <w:style w:type="paragraph" w:styleId="Heading4">
    <w:name w:val="heading 4"/>
    <w:basedOn w:val="ListParagraph"/>
    <w:next w:val="Normal"/>
    <w:link w:val="Heading4Char"/>
    <w:uiPriority w:val="9"/>
    <w:unhideWhenUsed/>
    <w:qFormat/>
    <w:rsid w:val="00AB2C2B"/>
    <w:pPr>
      <w:numPr>
        <w:ilvl w:val="1"/>
        <w:numId w:val="9"/>
      </w:numPr>
      <w:spacing w:before="100" w:beforeAutospacing="1" w:after="100" w:afterAutospacing="1" w:line="276" w:lineRule="auto"/>
      <w:ind w:left="709"/>
      <w:jc w:val="both"/>
      <w:outlineLvl w:val="3"/>
    </w:pPr>
    <w:rPr>
      <w:rFonts w:ascii="Cambria" w:eastAsia="Times New Roman" w:hAnsi="Cambria"/>
      <w:b/>
      <w:kern w:val="0"/>
      <w:sz w:val="27"/>
      <w:szCs w:val="27"/>
      <w:lang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2DF0"/>
    <w:rPr>
      <w:rFonts w:eastAsia="Times New Roman"/>
      <w:b/>
      <w:kern w:val="0"/>
      <w:sz w:val="36"/>
      <w:szCs w:val="36"/>
      <w:lang w:eastAsia="en-IN"/>
    </w:rPr>
  </w:style>
  <w:style w:type="character" w:customStyle="1" w:styleId="Heading3Char">
    <w:name w:val="Heading 3 Char"/>
    <w:basedOn w:val="DefaultParagraphFont"/>
    <w:link w:val="Heading3"/>
    <w:uiPriority w:val="9"/>
    <w:rsid w:val="00FF2DF0"/>
    <w:rPr>
      <w:rFonts w:eastAsia="Times New Roman"/>
      <w:b/>
      <w:kern w:val="0"/>
      <w:sz w:val="27"/>
      <w:szCs w:val="27"/>
      <w:lang w:eastAsia="en-IN"/>
    </w:rPr>
  </w:style>
  <w:style w:type="character" w:styleId="Strong">
    <w:name w:val="Strong"/>
    <w:basedOn w:val="DefaultParagraphFont"/>
    <w:uiPriority w:val="22"/>
    <w:qFormat/>
    <w:rsid w:val="00FF2DF0"/>
    <w:rPr>
      <w:b/>
      <w:bCs/>
    </w:rPr>
  </w:style>
  <w:style w:type="paragraph" w:styleId="NormalWeb">
    <w:name w:val="Normal (Web)"/>
    <w:basedOn w:val="Normal"/>
    <w:uiPriority w:val="99"/>
    <w:semiHidden/>
    <w:unhideWhenUsed/>
    <w:rsid w:val="00FF2DF0"/>
    <w:pPr>
      <w:spacing w:before="100" w:beforeAutospacing="1" w:after="100" w:afterAutospacing="1" w:line="240" w:lineRule="auto"/>
    </w:pPr>
    <w:rPr>
      <w:rFonts w:eastAsia="Times New Roman"/>
      <w:bCs/>
      <w:kern w:val="0"/>
      <w:lang w:eastAsia="en-IN"/>
    </w:rPr>
  </w:style>
  <w:style w:type="paragraph" w:styleId="ListParagraph">
    <w:name w:val="List Paragraph"/>
    <w:basedOn w:val="Normal"/>
    <w:uiPriority w:val="34"/>
    <w:qFormat/>
    <w:rsid w:val="00FF2DF0"/>
    <w:pPr>
      <w:ind w:left="720"/>
      <w:contextualSpacing/>
    </w:pPr>
  </w:style>
  <w:style w:type="paragraph" w:styleId="Title">
    <w:name w:val="Title"/>
    <w:basedOn w:val="Normal"/>
    <w:next w:val="Normal"/>
    <w:link w:val="TitleChar"/>
    <w:uiPriority w:val="10"/>
    <w:qFormat/>
    <w:rsid w:val="00FF2DF0"/>
    <w:pPr>
      <w:numPr>
        <w:numId w:val="10"/>
      </w:numPr>
      <w:spacing w:after="0" w:line="240" w:lineRule="auto"/>
      <w:contextualSpacing/>
    </w:pPr>
    <w:rPr>
      <w:rFonts w:ascii="Cambria" w:eastAsia="Times New Roman" w:hAnsi="Cambria" w:cstheme="majorBidi"/>
      <w:bCs/>
      <w:spacing w:val="-10"/>
      <w:kern w:val="28"/>
      <w:lang w:eastAsia="en-IN"/>
    </w:rPr>
  </w:style>
  <w:style w:type="character" w:customStyle="1" w:styleId="TitleChar">
    <w:name w:val="Title Char"/>
    <w:basedOn w:val="DefaultParagraphFont"/>
    <w:link w:val="Title"/>
    <w:uiPriority w:val="10"/>
    <w:rsid w:val="00FF2DF0"/>
    <w:rPr>
      <w:rFonts w:ascii="Cambria" w:eastAsia="Times New Roman" w:hAnsi="Cambria" w:cstheme="majorBidi"/>
      <w:bCs/>
      <w:spacing w:val="-10"/>
      <w:kern w:val="28"/>
      <w:lang w:eastAsia="en-IN"/>
    </w:rPr>
  </w:style>
  <w:style w:type="character" w:customStyle="1" w:styleId="Heading4Char">
    <w:name w:val="Heading 4 Char"/>
    <w:basedOn w:val="DefaultParagraphFont"/>
    <w:link w:val="Heading4"/>
    <w:uiPriority w:val="9"/>
    <w:rsid w:val="00AB2C2B"/>
    <w:rPr>
      <w:rFonts w:ascii="Cambria" w:eastAsia="Times New Roman" w:hAnsi="Cambria"/>
      <w:b/>
      <w:kern w:val="0"/>
      <w:sz w:val="27"/>
      <w:szCs w:val="27"/>
      <w:lang w:eastAsia="en-IN"/>
    </w:rPr>
  </w:style>
  <w:style w:type="table" w:styleId="GridTable4">
    <w:name w:val="Grid Table 4"/>
    <w:basedOn w:val="TableNormal"/>
    <w:uiPriority w:val="49"/>
    <w:rsid w:val="00323D5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323D5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323D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586234">
      <w:bodyDiv w:val="1"/>
      <w:marLeft w:val="0"/>
      <w:marRight w:val="0"/>
      <w:marTop w:val="0"/>
      <w:marBottom w:val="0"/>
      <w:divBdr>
        <w:top w:val="none" w:sz="0" w:space="0" w:color="auto"/>
        <w:left w:val="none" w:sz="0" w:space="0" w:color="auto"/>
        <w:bottom w:val="none" w:sz="0" w:space="0" w:color="auto"/>
        <w:right w:val="none" w:sz="0" w:space="0" w:color="auto"/>
      </w:divBdr>
      <w:divsChild>
        <w:div w:id="1857111466">
          <w:marLeft w:val="0"/>
          <w:marRight w:val="0"/>
          <w:marTop w:val="0"/>
          <w:marBottom w:val="0"/>
          <w:divBdr>
            <w:top w:val="none" w:sz="0" w:space="0" w:color="auto"/>
            <w:left w:val="none" w:sz="0" w:space="0" w:color="auto"/>
            <w:bottom w:val="none" w:sz="0" w:space="0" w:color="auto"/>
            <w:right w:val="none" w:sz="0" w:space="0" w:color="auto"/>
          </w:divBdr>
          <w:divsChild>
            <w:div w:id="149502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810634">
      <w:bodyDiv w:val="1"/>
      <w:marLeft w:val="0"/>
      <w:marRight w:val="0"/>
      <w:marTop w:val="0"/>
      <w:marBottom w:val="0"/>
      <w:divBdr>
        <w:top w:val="none" w:sz="0" w:space="0" w:color="auto"/>
        <w:left w:val="none" w:sz="0" w:space="0" w:color="auto"/>
        <w:bottom w:val="none" w:sz="0" w:space="0" w:color="auto"/>
        <w:right w:val="none" w:sz="0" w:space="0" w:color="auto"/>
      </w:divBdr>
      <w:divsChild>
        <w:div w:id="1372728160">
          <w:marLeft w:val="0"/>
          <w:marRight w:val="0"/>
          <w:marTop w:val="0"/>
          <w:marBottom w:val="0"/>
          <w:divBdr>
            <w:top w:val="none" w:sz="0" w:space="0" w:color="auto"/>
            <w:left w:val="none" w:sz="0" w:space="0" w:color="auto"/>
            <w:bottom w:val="none" w:sz="0" w:space="0" w:color="auto"/>
            <w:right w:val="none" w:sz="0" w:space="0" w:color="auto"/>
          </w:divBdr>
          <w:divsChild>
            <w:div w:id="25155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93333">
      <w:bodyDiv w:val="1"/>
      <w:marLeft w:val="0"/>
      <w:marRight w:val="0"/>
      <w:marTop w:val="0"/>
      <w:marBottom w:val="0"/>
      <w:divBdr>
        <w:top w:val="none" w:sz="0" w:space="0" w:color="auto"/>
        <w:left w:val="none" w:sz="0" w:space="0" w:color="auto"/>
        <w:bottom w:val="none" w:sz="0" w:space="0" w:color="auto"/>
        <w:right w:val="none" w:sz="0" w:space="0" w:color="auto"/>
      </w:divBdr>
      <w:divsChild>
        <w:div w:id="336153630">
          <w:marLeft w:val="0"/>
          <w:marRight w:val="0"/>
          <w:marTop w:val="0"/>
          <w:marBottom w:val="0"/>
          <w:divBdr>
            <w:top w:val="none" w:sz="0" w:space="0" w:color="auto"/>
            <w:left w:val="none" w:sz="0" w:space="0" w:color="auto"/>
            <w:bottom w:val="none" w:sz="0" w:space="0" w:color="auto"/>
            <w:right w:val="none" w:sz="0" w:space="0" w:color="auto"/>
          </w:divBdr>
          <w:divsChild>
            <w:div w:id="10226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58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48412-50B2-4D82-866A-EB4502E51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569</Words>
  <Characters>3248</Characters>
  <Application>Microsoft Office Word</Application>
  <DocSecurity>0</DocSecurity>
  <Lines>27</Lines>
  <Paragraphs>7</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Policy and Process for Formulating the Vision and Mission of the Institute</vt:lpstr>
      <vt:lpstr>        Policy Statement</vt:lpstr>
      <vt:lpstr>        Objectives of the Policy</vt:lpstr>
      <vt:lpstr>        Scope</vt:lpstr>
      <vt:lpstr>    Process of Formulation</vt:lpstr>
      <vt:lpstr>        Responsible Units</vt:lpstr>
    </vt:vector>
  </TitlesOfParts>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2025-08-05T09:28:00Z</dcterms:created>
  <dcterms:modified xsi:type="dcterms:W3CDTF">2025-08-05T09:29:00Z</dcterms:modified>
</cp:coreProperties>
</file>